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Organization Name: __________________________________________________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Organization Type: 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ugrmoafdxn8j" w:id="0"/>
      <w:bookmarkEnd w:id="0"/>
      <w:r w:rsidDel="00000000" w:rsidR="00000000" w:rsidRPr="00000000">
        <w:rPr>
          <w:rtl w:val="0"/>
        </w:rPr>
        <w:t xml:space="preserve">Digital </w:t>
      </w:r>
      <w:r w:rsidDel="00000000" w:rsidR="00000000" w:rsidRPr="00000000">
        <w:rPr>
          <w:rtl w:val="0"/>
        </w:rPr>
        <w:t xml:space="preserve">Collection Policy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5"/>
        <w:gridCol w:w="6045"/>
        <w:tblGridChange w:id="0">
          <w:tblGrid>
            <w:gridCol w:w="3315"/>
            <w:gridCol w:w="60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 can content be submitted by?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is the content scope of the collection (e.g., student thesis, original broadcast productions, artworks collected by our curators, etc.)?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are the content types accepted/collected (e.g., video, audio, images, text, websites)?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beddiuxspu1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y4pmc9333mf9" w:id="2"/>
      <w:bookmarkEnd w:id="2"/>
      <w:r w:rsidDel="00000000" w:rsidR="00000000" w:rsidRPr="00000000">
        <w:rPr>
          <w:rtl w:val="0"/>
        </w:rPr>
        <w:t xml:space="preserve">SIP Requirements Policy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5"/>
        <w:gridCol w:w="6045"/>
        <w:tblGridChange w:id="0">
          <w:tblGrid>
            <w:gridCol w:w="3315"/>
            <w:gridCol w:w="60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file formats are accepted for preservation for each content type (include container/codec for video and audio)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metadata is required from the submitter?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other information is required from the submitter (checksum, documentation/instructions, licenses/releases)?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b5zdz1qilb4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qoq39gesmj3g" w:id="4"/>
      <w:bookmarkEnd w:id="4"/>
      <w:r w:rsidDel="00000000" w:rsidR="00000000" w:rsidRPr="00000000">
        <w:rPr>
          <w:rtl w:val="0"/>
        </w:rPr>
        <w:t xml:space="preserve">AIP Policy</w:t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5"/>
        <w:gridCol w:w="6045"/>
        <w:tblGridChange w:id="0">
          <w:tblGrid>
            <w:gridCol w:w="3315"/>
            <w:gridCol w:w="60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files normalized to a common format on ingest? If so, what?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files are normalized for preservation, are originals retained?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access derivatives created on ingest? If so, in what format?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tasks take place on ingest (e.g., virus check, technical metadata extraction, fixity check, create unique ID, etc.)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metadata is added during ingest (hint: some should be the result of the ingest tasks)?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>
        <w:color w:val="666666"/>
      </w:rPr>
      <w:drawing>
        <wp:inline distB="114300" distT="114300" distL="114300" distR="114300">
          <wp:extent cx="2943225" cy="800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43225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i w:val="1"/>
      <w:color w:val="99999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